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山东女子学院 美国罗斯福大学——客访生（学期学年交流）项目</w:t>
      </w:r>
    </w:p>
    <w:tbl>
      <w:tblPr>
        <w:tblStyle w:val="4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国别</w:t>
            </w:r>
          </w:p>
        </w:tc>
        <w:tc>
          <w:tcPr>
            <w:tcW w:w="65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项目形式</w:t>
            </w:r>
          </w:p>
        </w:tc>
        <w:tc>
          <w:tcPr>
            <w:tcW w:w="65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客访生学期学年交流：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基于两校友好合作，中方院校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每年可以选派成绩优异的学生赴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罗斯福大学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进行一学期或一学年的交流学习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最高10人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，学生可以选择在秋季学期（9月-次年1月）或春季学期（2月-6月）到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罗斯福大学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进行学期或学年的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交流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学习。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客访生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享受本校学生同等待遇，持有效证件可以享用校内的一切公共设施（如图书馆、体育场等）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项目优势</w:t>
            </w:r>
          </w:p>
        </w:tc>
        <w:tc>
          <w:tcPr>
            <w:tcW w:w="6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420" w:leftChars="0" w:hanging="420" w:firstLine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奖学金政策：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山东女子学院 每年可派出学生进行学期学年交流，成绩最优的学生（1名）可以享受全额奖学金（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免学费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），其余申请学生也将获得高额奖学金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（每学期只需交纳2500美元学费）（上限9名）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420" w:leftChars="0" w:hanging="420" w:firstLine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结业收获：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240" w:firstLineChars="10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1.外方大学课程成绩单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2.项目结课证书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3.成绩优秀者（GPA 3.25以上）可获得国际办公室或教授的推荐信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院校优势</w:t>
            </w:r>
          </w:p>
        </w:tc>
        <w:tc>
          <w:tcPr>
            <w:tcW w:w="6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420" w:leftChars="0" w:hanging="420" w:firstLine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学校排名：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4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200"/>
              <w:jc w:val="both"/>
              <w:textAlignment w:val="auto"/>
              <w:outlineLvl w:val="0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全美综合排名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#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331-440；</w:t>
            </w:r>
          </w:p>
          <w:p>
            <w:pPr>
              <w:numPr>
                <w:ilvl w:val="4"/>
                <w:numId w:val="0"/>
              </w:numPr>
              <w:spacing w:line="240" w:lineRule="auto"/>
              <w:ind w:leftChars="200"/>
              <w:jc w:val="both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2021 QS美国大学排名#201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地理位置：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斯福大学位于美国第三大城市芝加哥的中心地带，是美国最重要的铁路、航空枢纽，同时也是美国主要的金融，文化，制造业，期货和商品交易中心之一，有美国“工业之母”的美称，同时是世界的国际金融中心之一，被称为“美国的动脉”吸引着全球大量的人才和资本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罗斯福大学以美国前总统命名，学校有两个校区，主校区位于芝加哥市中心，拥有全美第二高的32层教学大楼。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推荐合作专业</w:t>
            </w:r>
          </w:p>
        </w:tc>
        <w:tc>
          <w:tcPr>
            <w:tcW w:w="655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外方院校开放所有专业，以下为推荐申请专业：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视觉传达设计、音乐学、音乐教育、健康服务与管理、学前教育、小学教育、应用心理学、英语、会计、酒店管理、旅游管理、社会工作、金融学、市场营销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655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学费：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合作院校学生成绩前10名者，可享受高额奖学金，每学期只需交纳学费$2500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  <w:t>（原）31,493美元/学年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食宿：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双人间、常规餐费计划（1周14餐）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：一学期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$6,1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，一学年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$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2,2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申请要求</w:t>
            </w:r>
          </w:p>
        </w:tc>
        <w:tc>
          <w:tcPr>
            <w:tcW w:w="6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1、学术要求：无硬性要求，建议GPA2.0以上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2、语言要求：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TOEFL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/IELTS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.5/Duolingo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110/学校内测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报名截止日期</w:t>
            </w:r>
          </w:p>
        </w:tc>
        <w:tc>
          <w:tcPr>
            <w:tcW w:w="6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2023年秋季入学申请截止日期：2023年5月30日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textAlignment w:val="auto"/>
              <w:outlineLvl w:val="0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2024年春季入学申请截止日期：2023年10月30日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咨询:山东女子学院国际处 办公楼312 ，电话86526631.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参见学校国际交流合作处下载中心网站。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学校给予出国留学生一定的奖金奖励。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966B5"/>
    <w:multiLevelType w:val="singleLevel"/>
    <w:tmpl w:val="0E1966B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mVlMzRlYTZmYjBkZDA0MDExNWIyNjM2MGY5NzAifQ=="/>
  </w:docVars>
  <w:rsids>
    <w:rsidRoot w:val="25407482"/>
    <w:rsid w:val="25407482"/>
    <w:rsid w:val="2738220D"/>
    <w:rsid w:val="28D948BF"/>
    <w:rsid w:val="2C3403EA"/>
    <w:rsid w:val="418A325A"/>
    <w:rsid w:val="4597718F"/>
    <w:rsid w:val="4F7103C4"/>
    <w:rsid w:val="4F805ED0"/>
    <w:rsid w:val="562B7869"/>
    <w:rsid w:val="67335834"/>
    <w:rsid w:val="67B04461"/>
    <w:rsid w:val="6FD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931</Characters>
  <Lines>0</Lines>
  <Paragraphs>0</Paragraphs>
  <TotalTime>0</TotalTime>
  <ScaleCrop>false</ScaleCrop>
  <LinksUpToDate>false</LinksUpToDate>
  <CharactersWithSpaces>940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2023-04-19T02:21:00Z</dcterms:created>
  <dc:creator>YAN</dc:creator>
  <cp:lastModifiedBy>云中鸟</cp:lastModifiedBy>
  <dcterms:modified xsi:type="dcterms:W3CDTF">2023-04-19T06:57:35Z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E57B557B58264067BA6A5F756B929680_13</vt:lpwstr>
  </property>
</Properties>
</file>